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F010" w14:textId="26249D53" w:rsidR="00D779A4" w:rsidRPr="0016286E" w:rsidRDefault="0018705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D779A4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D779A4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16286E" w:rsidRDefault="00D779A4" w:rsidP="00BD0572">
      <w:pPr>
        <w:tabs>
          <w:tab w:val="center" w:pos="5233"/>
        </w:tabs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3A51CF17" w14:textId="77777777" w:rsidR="00D779A4" w:rsidRPr="0016286E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6813EC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7386B9C8" w14:textId="77777777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12921E94" w14:textId="63AE9E82" w:rsidR="00D779A4" w:rsidRPr="00015328" w:rsidRDefault="0090208F" w:rsidP="00D779A4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proofErr w:type="gramStart"/>
      <w:r>
        <w:rPr>
          <w:rFonts w:ascii="Bodoni MT" w:hAnsi="Bodoni MT"/>
          <w:iCs/>
          <w:color w:val="FF0000"/>
          <w:sz w:val="40"/>
          <w:u w:val="words"/>
        </w:rPr>
        <w:t>simplifie</w:t>
      </w:r>
      <w:proofErr w:type="gramEnd"/>
      <w:r w:rsidR="00D779A4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D779A4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DA79F6">
        <w:rPr>
          <w:rFonts w:ascii="Bodoni MT" w:hAnsi="Bodoni MT"/>
          <w:iCs/>
          <w:color w:val="FF0000"/>
          <w:sz w:val="40"/>
          <w:u w:val="words"/>
        </w:rPr>
        <w:t>14</w:t>
      </w:r>
      <w:r w:rsidR="00D779A4" w:rsidRPr="00015328">
        <w:rPr>
          <w:rFonts w:ascii="Bodoni MT" w:hAnsi="Bodoni MT"/>
          <w:iCs/>
          <w:color w:val="FF0000"/>
          <w:sz w:val="40"/>
          <w:u w:val="words"/>
        </w:rPr>
        <w:t>/2024</w:t>
      </w:r>
    </w:p>
    <w:p w14:paraId="0AABBD0E" w14:textId="77777777" w:rsidR="00D779A4" w:rsidRPr="00D370A0" w:rsidRDefault="00D779A4" w:rsidP="00D779A4">
      <w:pPr>
        <w:rPr>
          <w:lang w:eastAsia="fr-FR"/>
        </w:rPr>
      </w:pPr>
    </w:p>
    <w:p w14:paraId="0397F12E" w14:textId="605A864C" w:rsidR="00F92FFE" w:rsidRPr="00F92FFE" w:rsidRDefault="00D779A4" w:rsidP="00F92FFE">
      <w:pPr>
        <w:pStyle w:val="Corpsdetexte"/>
        <w:widowControl/>
        <w:autoSpaceDE/>
        <w:autoSpaceDN/>
        <w:spacing w:after="120"/>
        <w:ind w:left="142" w:firstLine="851"/>
        <w:jc w:val="both"/>
        <w:rPr>
          <w:szCs w:val="20"/>
          <w:lang w:eastAsia="fr-FR"/>
        </w:rPr>
      </w:pP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DA79F6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="00D8289F" w:rsidRPr="00D8289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</w:t>
      </w:r>
      <w:r w:rsidR="00DA79F6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06</w:t>
      </w:r>
      <w:r w:rsidR="00D8289F" w:rsidRPr="00D8289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DA79F6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11</w:t>
      </w:r>
      <w:r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</w:t>
      </w:r>
      <w:r w:rsidRPr="00EA75E5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l’ouverture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des plis relatifs à l’appel d’offres ouvert </w:t>
      </w:r>
      <w:r w:rsidR="0090208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simplifie</w:t>
      </w:r>
      <w:r w:rsidRPr="00EA75E5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0" w:name="_Hlk156910058"/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 w:rsidR="00DA79F6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14</w:t>
      </w:r>
      <w:r w:rsidRPr="00557A5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Pr="00557A5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Pr="00ED4BBE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0"/>
      <w:r w:rsidR="00DA79F6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="00D8289F" w:rsidRPr="00D8289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</w:t>
      </w:r>
      <w:r w:rsidR="00DA79F6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06</w:t>
      </w:r>
      <w:r w:rsidR="00D8289F" w:rsidRPr="00D8289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="00D8289F" w:rsidRPr="001B4C0F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D3654B">
        <w:rPr>
          <w:rFonts w:ascii="Garamond" w:hAnsi="Garamond"/>
          <w:iCs/>
          <w:w w:val="90"/>
          <w:sz w:val="30"/>
          <w:szCs w:val="30"/>
        </w:rPr>
        <w:t>pour </w:t>
      </w:r>
      <w:r w:rsidRPr="0016286E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="00F92FFE" w:rsidRPr="00F92FF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Entretien et réparation de véhicules et engins du parc communal de la ville de Taroudannt</w:t>
      </w:r>
    </w:p>
    <w:p w14:paraId="50A6816C" w14:textId="770C1659" w:rsidR="00D779A4" w:rsidRDefault="00D779A4" w:rsidP="00F92FFE">
      <w:pPr>
        <w:tabs>
          <w:tab w:val="left" w:pos="993"/>
        </w:tabs>
        <w:spacing w:after="120" w:line="276" w:lineRule="auto"/>
        <w:ind w:left="60" w:right="60" w:firstLine="791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l’adresse :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1EBFF450" w14:textId="7B74D289" w:rsidR="00D779A4" w:rsidRPr="00BD567D" w:rsidRDefault="00D779A4" w:rsidP="00BD567D">
      <w:pPr>
        <w:shd w:val="clear" w:color="auto" w:fill="FFFFFF" w:themeFill="background1"/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L’estimation des coûts des prestations établie par le maître d’ouvrage est fixée à la somme de </w:t>
      </w:r>
      <w:r w:rsidRPr="00F369F8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="00BD0572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cent </w:t>
      </w:r>
      <w:r w:rsidR="00B7010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quatre</w:t>
      </w:r>
      <w:r w:rsidR="003C5A2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-vingt</w:t>
      </w:r>
      <w:r w:rsidR="00DB148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-dix-huit</w:t>
      </w:r>
      <w:r w:rsidR="00BD0572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 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90208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19</w:t>
      </w:r>
      <w:r w:rsidR="0076466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8</w:t>
      </w:r>
      <w:r w:rsidR="0090208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000.00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 en dirhams.</w:t>
      </w:r>
    </w:p>
    <w:p w14:paraId="06CBD006" w14:textId="355E5358" w:rsidR="00D779A4" w:rsidRPr="00816F7D" w:rsidRDefault="00D779A4" w:rsidP="00816F7D">
      <w:pPr>
        <w:shd w:val="clear" w:color="auto" w:fill="FFFFFF" w:themeFill="background1"/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BD567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proofErr w:type="gramStart"/>
      <w:r w:rsidRPr="00BD567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de:</w:t>
      </w:r>
      <w:proofErr w:type="gramEnd"/>
      <w:r w:rsidRPr="00BD567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11604F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trois mille 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973971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3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9F6AE0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00.00) en dirhams.</w:t>
      </w:r>
    </w:p>
    <w:p w14:paraId="53F8187F" w14:textId="77777777" w:rsidR="00D779A4" w:rsidRPr="009F6AE0" w:rsidRDefault="00D779A4" w:rsidP="00D779A4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16"/>
          <w:szCs w:val="16"/>
          <w:lang w:eastAsia="fr-FR"/>
        </w:rPr>
      </w:pPr>
    </w:p>
    <w:p w14:paraId="6FD0A151" w14:textId="77777777" w:rsidR="00D779A4" w:rsidRPr="00D11886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Default="00D779A4" w:rsidP="00D779A4">
      <w:pPr>
        <w:pStyle w:val="Default"/>
        <w:spacing w:line="276" w:lineRule="auto"/>
      </w:pPr>
    </w:p>
    <w:p w14:paraId="1CC58D73" w14:textId="77777777" w:rsidR="00D779A4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61D0415A" w14:textId="77777777" w:rsidR="00D779A4" w:rsidRPr="00A63040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0D680BF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proofErr w:type="gramStart"/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c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</w:t>
      </w:r>
      <w:proofErr w:type="gramEnd"/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6B9FB647" w14:textId="77777777" w:rsidR="00D779A4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6920C0CB" w14:textId="77777777" w:rsidR="00D779A4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   </w:t>
      </w:r>
    </w:p>
    <w:p w14:paraId="28912774" w14:textId="77777777" w:rsidR="00D779A4" w:rsidRPr="00056985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</w:p>
    <w:p w14:paraId="63A362B5" w14:textId="77777777" w:rsidR="00D779A4" w:rsidRPr="00EA4FA7" w:rsidRDefault="00D779A4" w:rsidP="00D779A4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0E0EA43B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C0B1F54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1100FDA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29E27289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06DCD129" w14:textId="77777777" w:rsidR="00D779A4" w:rsidRDefault="00D779A4" w:rsidP="00D779A4">
      <w:pPr>
        <w:pStyle w:val="Corpsdetexte"/>
        <w:rPr>
          <w:b/>
          <w:sz w:val="20"/>
          <w:rtl/>
        </w:rPr>
      </w:pPr>
    </w:p>
    <w:p w14:paraId="181203C5" w14:textId="77777777" w:rsidR="00D779A4" w:rsidRDefault="00D779A4" w:rsidP="00D779A4">
      <w:pPr>
        <w:pStyle w:val="Corpsdetexte"/>
        <w:rPr>
          <w:b/>
          <w:sz w:val="20"/>
        </w:rPr>
      </w:pPr>
    </w:p>
    <w:p w14:paraId="4966FA32" w14:textId="77777777" w:rsidR="009F6AE0" w:rsidRDefault="009F6AE0" w:rsidP="00D779A4">
      <w:pPr>
        <w:pStyle w:val="Corpsdetexte"/>
        <w:rPr>
          <w:b/>
          <w:sz w:val="20"/>
        </w:rPr>
      </w:pPr>
    </w:p>
    <w:p w14:paraId="27939B84" w14:textId="77777777" w:rsidR="009F6AE0" w:rsidRDefault="009F6AE0" w:rsidP="00D779A4">
      <w:pPr>
        <w:pStyle w:val="Corpsdetexte"/>
        <w:rPr>
          <w:b/>
          <w:sz w:val="20"/>
        </w:rPr>
      </w:pPr>
    </w:p>
    <w:p w14:paraId="7D28C578" w14:textId="77777777" w:rsidR="009F6AE0" w:rsidRDefault="009F6AE0" w:rsidP="00D779A4">
      <w:pPr>
        <w:pStyle w:val="Corpsdetexte"/>
        <w:rPr>
          <w:b/>
          <w:sz w:val="20"/>
          <w:rtl/>
        </w:rPr>
      </w:pPr>
    </w:p>
    <w:p w14:paraId="2E72B972" w14:textId="77777777" w:rsidR="00D779A4" w:rsidRDefault="00D779A4" w:rsidP="00D779A4">
      <w:pPr>
        <w:pStyle w:val="Corpsdetexte"/>
        <w:rPr>
          <w:b/>
          <w:sz w:val="20"/>
        </w:rPr>
      </w:pPr>
    </w:p>
    <w:p w14:paraId="2DFC365E" w14:textId="77777777" w:rsidR="00736022" w:rsidRDefault="00736022" w:rsidP="00D779A4">
      <w:pPr>
        <w:pStyle w:val="Corpsdetexte"/>
        <w:rPr>
          <w:b/>
          <w:sz w:val="20"/>
          <w:rtl/>
        </w:rPr>
      </w:pPr>
    </w:p>
    <w:p w14:paraId="3CF3F9E6" w14:textId="77777777" w:rsidR="00D779A4" w:rsidRDefault="00D779A4" w:rsidP="00D779A4">
      <w:pPr>
        <w:pStyle w:val="Corpsdetexte"/>
        <w:rPr>
          <w:b/>
          <w:sz w:val="20"/>
        </w:rPr>
      </w:pPr>
    </w:p>
    <w:p w14:paraId="62BF232E" w14:textId="77777777" w:rsidR="00D779A4" w:rsidRPr="0016286E" w:rsidRDefault="00D779A4" w:rsidP="00D779A4">
      <w:pPr>
        <w:spacing w:before="120" w:after="0" w:line="240" w:lineRule="auto"/>
        <w:ind w:right="83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rtl/>
          <w:lang w:eastAsia="fr-FR"/>
        </w:rPr>
      </w:pPr>
    </w:p>
    <w:p w14:paraId="60500896" w14:textId="6F4D33E0" w:rsidR="006E55C3" w:rsidRPr="0016286E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proofErr w:type="spellStart"/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  <w:proofErr w:type="spellEnd"/>
    </w:p>
    <w:p w14:paraId="6358D0B5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77777777" w:rsidR="006E55C3" w:rsidRPr="0016286E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2EC14627" w14:textId="1F0CF656" w:rsidR="006E55C3" w:rsidRDefault="006E55C3" w:rsidP="006E55C3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610682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E568C7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مبسط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="00DA79F6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14</w:t>
      </w:r>
      <w:r w:rsidR="00FD4466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5F3637" w:rsidRDefault="005F3637" w:rsidP="005F3637">
      <w:pPr>
        <w:bidi/>
        <w:rPr>
          <w:rtl/>
        </w:rPr>
      </w:pPr>
    </w:p>
    <w:p w14:paraId="03F1C4C6" w14:textId="3D0C2564" w:rsidR="00D424EA" w:rsidRPr="006117BE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6411F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يوم</w:t>
      </w:r>
      <w:r w:rsidR="009A0B03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10/</w:t>
      </w:r>
      <w:r w:rsidR="00DA79F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06</w:t>
      </w:r>
      <w:r w:rsidR="00B56788" w:rsidRPr="00B5678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/2024</w:t>
      </w:r>
      <w:r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9A0B03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11</w:t>
      </w:r>
      <w:r w:rsidRPr="00B5678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FD4466" w:rsidRPr="00B5678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صباحا</w:t>
      </w:r>
      <w:r w:rsidR="00FD4466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2556C3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</w:t>
      </w:r>
      <w:proofErr w:type="spellStart"/>
      <w:r w:rsidR="0072624D" w:rsidRPr="002556C3">
        <w:rPr>
          <w:rFonts w:cs="Arabic Transparent"/>
          <w:i/>
          <w:iCs/>
          <w:sz w:val="28"/>
          <w:szCs w:val="28"/>
          <w:rtl/>
        </w:rPr>
        <w:t>الأظرفة</w:t>
      </w:r>
      <w:proofErr w:type="spellEnd"/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المتعلقة بطلـب العروض </w:t>
      </w:r>
      <w:r w:rsidR="0072624D" w:rsidRPr="002556C3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DB1483">
        <w:rPr>
          <w:rFonts w:cs="Arabic Transparent" w:hint="cs"/>
          <w:i/>
          <w:iCs/>
          <w:color w:val="FF0000"/>
          <w:sz w:val="28"/>
          <w:szCs w:val="28"/>
          <w:rtl/>
        </w:rPr>
        <w:t>المبسط</w:t>
      </w:r>
      <w:r w:rsidR="0072624D" w:rsidRPr="00EB5794">
        <w:rPr>
          <w:rFonts w:cs="Arabic Transparent" w:hint="cs"/>
          <w:i/>
          <w:iCs/>
          <w:color w:val="FF0000"/>
          <w:sz w:val="28"/>
          <w:szCs w:val="28"/>
          <w:rtl/>
        </w:rPr>
        <w:t xml:space="preserve"> 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بعروض </w:t>
      </w:r>
      <w:r w:rsidR="0072624D" w:rsidRPr="0045795A">
        <w:rPr>
          <w:rFonts w:cs="Arabic Transparent"/>
          <w:i/>
          <w:iCs/>
          <w:sz w:val="28"/>
          <w:szCs w:val="28"/>
          <w:rtl/>
        </w:rPr>
        <w:t>أثمــان</w:t>
      </w:r>
      <w:r w:rsidR="0072624D" w:rsidRPr="0045795A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1" w:name="_Hlk156909998"/>
      <w:r w:rsidR="0072624D"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9A0B03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14</w:t>
      </w:r>
      <w:r w:rsidR="00FB6EF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/2024</w:t>
      </w:r>
      <w:r w:rsidR="00FD446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72624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بتاريخ </w:t>
      </w:r>
      <w:bookmarkEnd w:id="1"/>
      <w:r w:rsidR="009A0B03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10/06</w:t>
      </w:r>
      <w:r w:rsidR="00504EC1" w:rsidRPr="00B5678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/2024</w:t>
      </w:r>
      <w:r w:rsidR="00504EC1"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r w:rsidR="003625AC"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>:</w:t>
      </w:r>
      <w:r w:rsidR="009D1158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DB0AB6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صيانة وإصلاح السيارا</w:t>
      </w:r>
      <w:r w:rsidR="00A017E1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ت</w:t>
      </w:r>
      <w:r w:rsidR="00A017E1">
        <w:rPr>
          <w:rFonts w:cs="Arabic Transparent"/>
          <w:b/>
          <w:bCs/>
          <w:i/>
          <w:iCs/>
          <w:color w:val="FF0000"/>
          <w:sz w:val="30"/>
          <w:szCs w:val="30"/>
        </w:rPr>
        <w:t xml:space="preserve"> </w:t>
      </w:r>
      <w:r w:rsidR="00A017E1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والاليات</w:t>
      </w:r>
      <w:r w:rsidR="00EC528D" w:rsidRPr="00EC528D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EC528D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بالمستودع الجماعي بمدينة تارودانت</w:t>
      </w:r>
      <w:r w:rsidR="00EC528D">
        <w:rPr>
          <w:rFonts w:cs="Arabic Transparent"/>
          <w:b/>
          <w:bCs/>
          <w:i/>
          <w:iCs/>
          <w:color w:val="FF0000"/>
          <w:sz w:val="30"/>
          <w:szCs w:val="30"/>
        </w:rPr>
        <w:t>.</w:t>
      </w:r>
    </w:p>
    <w:p w14:paraId="2E46A483" w14:textId="28FCEEDE" w:rsidR="00731FDE" w:rsidRPr="006813EC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8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03FC4108" w:rsidR="006E55C3" w:rsidRPr="008415C1" w:rsidRDefault="00062DB5" w:rsidP="00E85B83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8A2E27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BD567D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="00A01322" w:rsidRPr="00BD567D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4E5349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مائة </w:t>
      </w:r>
      <w:r w:rsidR="00230F01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وثمانية</w:t>
      </w:r>
      <w:r w:rsidR="00E85B83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وتسعون </w:t>
      </w:r>
      <w:r w:rsidR="00FF4B5D" w:rsidRPr="00BD567D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أ</w:t>
      </w:r>
      <w:r w:rsidR="0014212C" w:rsidRPr="00BD567D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لف </w:t>
      </w:r>
      <w:proofErr w:type="gramStart"/>
      <w:r w:rsidR="006E55C3" w:rsidRPr="00BD567D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BD567D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 w:rsidRPr="00BD567D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4E5349">
        <w:rPr>
          <w:rFonts w:cs="Arabic Transparent"/>
          <w:i/>
          <w:iCs/>
          <w:color w:val="FF0000"/>
          <w:sz w:val="30"/>
          <w:szCs w:val="30"/>
        </w:rPr>
        <w:t>19</w:t>
      </w:r>
      <w:r w:rsidR="00230F01">
        <w:rPr>
          <w:rFonts w:cs="Arabic Transparent"/>
          <w:i/>
          <w:iCs/>
          <w:color w:val="FF0000"/>
          <w:sz w:val="30"/>
          <w:szCs w:val="30"/>
        </w:rPr>
        <w:t>8</w:t>
      </w:r>
      <w:r w:rsidR="004E5349">
        <w:rPr>
          <w:rFonts w:cs="Arabic Transparent"/>
          <w:i/>
          <w:iCs/>
          <w:color w:val="FF0000"/>
          <w:sz w:val="30"/>
          <w:szCs w:val="30"/>
        </w:rPr>
        <w:t> 000.00</w:t>
      </w:r>
      <w:r w:rsidR="006E55C3" w:rsidRPr="00BD567D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BD567D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73330824" w:rsidR="00AC220E" w:rsidRPr="006813EC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</w:t>
      </w:r>
      <w:r w:rsidR="006E55C3" w:rsidRPr="00752155">
        <w:rPr>
          <w:rFonts w:cs="Arabic Transparent"/>
          <w:i/>
          <w:iCs/>
          <w:color w:val="002060"/>
          <w:sz w:val="30"/>
          <w:szCs w:val="30"/>
          <w:rtl/>
        </w:rPr>
        <w:t xml:space="preserve">مبلغ: </w:t>
      </w:r>
      <w:r w:rsidR="00E90525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ثلاثة ألاف </w:t>
      </w:r>
      <w:proofErr w:type="gramStart"/>
      <w:r w:rsidR="00602A03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 w:rsidRPr="00752155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61063A">
        <w:rPr>
          <w:rFonts w:cs="Arabic Transparent"/>
          <w:i/>
          <w:iCs/>
          <w:color w:val="FF0000"/>
          <w:sz w:val="30"/>
          <w:szCs w:val="30"/>
        </w:rPr>
        <w:t>(</w:t>
      </w:r>
      <w:proofErr w:type="gramEnd"/>
      <w:r w:rsidR="00E90525">
        <w:rPr>
          <w:rFonts w:cs="Arabic Transparent"/>
          <w:i/>
          <w:iCs/>
          <w:color w:val="FF0000"/>
          <w:sz w:val="30"/>
          <w:szCs w:val="30"/>
        </w:rPr>
        <w:t xml:space="preserve">3 </w:t>
      </w:r>
      <w:r w:rsidR="00E85B83">
        <w:rPr>
          <w:rFonts w:cs="Arabic Transparent"/>
          <w:i/>
          <w:iCs/>
          <w:color w:val="FF0000"/>
          <w:sz w:val="30"/>
          <w:szCs w:val="30"/>
        </w:rPr>
        <w:t>00</w:t>
      </w:r>
      <w:r w:rsidR="007F6DC4" w:rsidRPr="00752155">
        <w:rPr>
          <w:rFonts w:cs="Arabic Transparent"/>
          <w:i/>
          <w:iCs/>
          <w:color w:val="FF0000"/>
          <w:sz w:val="30"/>
          <w:szCs w:val="30"/>
        </w:rPr>
        <w:t>0.00</w:t>
      </w:r>
      <w:r w:rsidR="003625AC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درهم</w:t>
      </w:r>
    </w:p>
    <w:p w14:paraId="7CE49766" w14:textId="34F5B498" w:rsidR="00A22A44" w:rsidRPr="00A22A44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635036" w:rsidRDefault="00635036" w:rsidP="00ED4BBE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9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24152EA9" w:rsidR="00943B35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>
        <w:rPr>
          <w:rFonts w:cs="Arabic Transparent"/>
          <w:i/>
          <w:iCs/>
          <w:color w:val="FF0000"/>
          <w:sz w:val="30"/>
          <w:szCs w:val="30"/>
        </w:rPr>
        <w:t>8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24BF9A14" w14:textId="610ED483" w:rsidR="006E55C3" w:rsidRPr="00D779A4" w:rsidRDefault="006E55C3" w:rsidP="00F82451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</w:p>
    <w:sectPr w:rsidR="006E55C3" w:rsidRPr="00D779A4" w:rsidSect="00135839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B43"/>
    <w:multiLevelType w:val="hybridMultilevel"/>
    <w:tmpl w:val="0DEEB2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5146950">
    <w:abstractNumId w:val="3"/>
  </w:num>
  <w:num w:numId="2" w16cid:durableId="248122448">
    <w:abstractNumId w:val="1"/>
  </w:num>
  <w:num w:numId="3" w16cid:durableId="1750032593">
    <w:abstractNumId w:val="2"/>
  </w:num>
  <w:num w:numId="4" w16cid:durableId="1992637845">
    <w:abstractNumId w:val="0"/>
  </w:num>
  <w:num w:numId="5" w16cid:durableId="1629585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43A6A"/>
    <w:rsid w:val="00044EB2"/>
    <w:rsid w:val="00056631"/>
    <w:rsid w:val="00062DB5"/>
    <w:rsid w:val="00065DB4"/>
    <w:rsid w:val="000724BA"/>
    <w:rsid w:val="00094479"/>
    <w:rsid w:val="000B1DCB"/>
    <w:rsid w:val="000C04C5"/>
    <w:rsid w:val="000E07CC"/>
    <w:rsid w:val="000F0B0D"/>
    <w:rsid w:val="001068B2"/>
    <w:rsid w:val="00112D1C"/>
    <w:rsid w:val="00113356"/>
    <w:rsid w:val="0011604F"/>
    <w:rsid w:val="00120366"/>
    <w:rsid w:val="00124E9E"/>
    <w:rsid w:val="00133654"/>
    <w:rsid w:val="00134A65"/>
    <w:rsid w:val="00135839"/>
    <w:rsid w:val="00137472"/>
    <w:rsid w:val="0014212C"/>
    <w:rsid w:val="00150F90"/>
    <w:rsid w:val="0016286E"/>
    <w:rsid w:val="001825AD"/>
    <w:rsid w:val="00185832"/>
    <w:rsid w:val="00186AF0"/>
    <w:rsid w:val="00187054"/>
    <w:rsid w:val="00187806"/>
    <w:rsid w:val="001962D0"/>
    <w:rsid w:val="001A00AC"/>
    <w:rsid w:val="001A753F"/>
    <w:rsid w:val="001B3078"/>
    <w:rsid w:val="001B4C0F"/>
    <w:rsid w:val="001D4D33"/>
    <w:rsid w:val="001F2C92"/>
    <w:rsid w:val="001F6E07"/>
    <w:rsid w:val="00227233"/>
    <w:rsid w:val="00230F01"/>
    <w:rsid w:val="002401DD"/>
    <w:rsid w:val="00262E7B"/>
    <w:rsid w:val="00267F80"/>
    <w:rsid w:val="00271B76"/>
    <w:rsid w:val="0027364C"/>
    <w:rsid w:val="00276288"/>
    <w:rsid w:val="002768F9"/>
    <w:rsid w:val="00293686"/>
    <w:rsid w:val="002B2D56"/>
    <w:rsid w:val="002C18A4"/>
    <w:rsid w:val="002C6513"/>
    <w:rsid w:val="002C71B3"/>
    <w:rsid w:val="002F765C"/>
    <w:rsid w:val="002F7662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A274E"/>
    <w:rsid w:val="003C141D"/>
    <w:rsid w:val="003C5A23"/>
    <w:rsid w:val="003D0823"/>
    <w:rsid w:val="003E3450"/>
    <w:rsid w:val="003F3624"/>
    <w:rsid w:val="00426FEE"/>
    <w:rsid w:val="00451B57"/>
    <w:rsid w:val="0045795A"/>
    <w:rsid w:val="0046293E"/>
    <w:rsid w:val="004D7123"/>
    <w:rsid w:val="004E1FA2"/>
    <w:rsid w:val="004E5349"/>
    <w:rsid w:val="00503A40"/>
    <w:rsid w:val="00504EC1"/>
    <w:rsid w:val="00530FD1"/>
    <w:rsid w:val="005552A1"/>
    <w:rsid w:val="00557A5E"/>
    <w:rsid w:val="00560A69"/>
    <w:rsid w:val="005674A8"/>
    <w:rsid w:val="0057443A"/>
    <w:rsid w:val="005814A3"/>
    <w:rsid w:val="005D07DF"/>
    <w:rsid w:val="005D1A34"/>
    <w:rsid w:val="005F188C"/>
    <w:rsid w:val="005F3637"/>
    <w:rsid w:val="00602A03"/>
    <w:rsid w:val="00606F32"/>
    <w:rsid w:val="0061063A"/>
    <w:rsid w:val="00610682"/>
    <w:rsid w:val="006117BE"/>
    <w:rsid w:val="00611FB3"/>
    <w:rsid w:val="0061394F"/>
    <w:rsid w:val="006166A5"/>
    <w:rsid w:val="006250FB"/>
    <w:rsid w:val="00631093"/>
    <w:rsid w:val="00635036"/>
    <w:rsid w:val="006411FC"/>
    <w:rsid w:val="00657C42"/>
    <w:rsid w:val="00675150"/>
    <w:rsid w:val="006813EC"/>
    <w:rsid w:val="006B1CFE"/>
    <w:rsid w:val="006D10C4"/>
    <w:rsid w:val="006D4CD5"/>
    <w:rsid w:val="006E55C3"/>
    <w:rsid w:val="006E7AF2"/>
    <w:rsid w:val="006F5D92"/>
    <w:rsid w:val="00711E87"/>
    <w:rsid w:val="00717577"/>
    <w:rsid w:val="00724F2E"/>
    <w:rsid w:val="0072624D"/>
    <w:rsid w:val="00731FDE"/>
    <w:rsid w:val="007350EF"/>
    <w:rsid w:val="00736022"/>
    <w:rsid w:val="007419A2"/>
    <w:rsid w:val="00752155"/>
    <w:rsid w:val="007535F6"/>
    <w:rsid w:val="00764668"/>
    <w:rsid w:val="00772623"/>
    <w:rsid w:val="0077303E"/>
    <w:rsid w:val="007921AF"/>
    <w:rsid w:val="007D0721"/>
    <w:rsid w:val="007F491F"/>
    <w:rsid w:val="007F6DC4"/>
    <w:rsid w:val="00802FC9"/>
    <w:rsid w:val="00811F47"/>
    <w:rsid w:val="00816F7D"/>
    <w:rsid w:val="00820303"/>
    <w:rsid w:val="00820819"/>
    <w:rsid w:val="008415C1"/>
    <w:rsid w:val="00845ADF"/>
    <w:rsid w:val="00867EEE"/>
    <w:rsid w:val="00870B5D"/>
    <w:rsid w:val="008772A6"/>
    <w:rsid w:val="00885A9A"/>
    <w:rsid w:val="008A2E27"/>
    <w:rsid w:val="008A6EE8"/>
    <w:rsid w:val="008B4F2C"/>
    <w:rsid w:val="008B76AB"/>
    <w:rsid w:val="008D44C3"/>
    <w:rsid w:val="008D4F11"/>
    <w:rsid w:val="008D5965"/>
    <w:rsid w:val="00901CBB"/>
    <w:rsid w:val="0090208F"/>
    <w:rsid w:val="0091389F"/>
    <w:rsid w:val="00943B35"/>
    <w:rsid w:val="009507E2"/>
    <w:rsid w:val="00951558"/>
    <w:rsid w:val="009526A6"/>
    <w:rsid w:val="009604B2"/>
    <w:rsid w:val="009646F7"/>
    <w:rsid w:val="00973971"/>
    <w:rsid w:val="00974389"/>
    <w:rsid w:val="0099103D"/>
    <w:rsid w:val="009A0B03"/>
    <w:rsid w:val="009B1AF0"/>
    <w:rsid w:val="009D1158"/>
    <w:rsid w:val="009F6AE0"/>
    <w:rsid w:val="00A01322"/>
    <w:rsid w:val="00A017E1"/>
    <w:rsid w:val="00A14A62"/>
    <w:rsid w:val="00A16DFB"/>
    <w:rsid w:val="00A200A4"/>
    <w:rsid w:val="00A2214C"/>
    <w:rsid w:val="00A22A44"/>
    <w:rsid w:val="00A505A8"/>
    <w:rsid w:val="00A63040"/>
    <w:rsid w:val="00A96D60"/>
    <w:rsid w:val="00A97602"/>
    <w:rsid w:val="00AA12AF"/>
    <w:rsid w:val="00AB04B9"/>
    <w:rsid w:val="00AB4DDF"/>
    <w:rsid w:val="00AB6CEA"/>
    <w:rsid w:val="00AC220E"/>
    <w:rsid w:val="00B04F92"/>
    <w:rsid w:val="00B25961"/>
    <w:rsid w:val="00B56788"/>
    <w:rsid w:val="00B6112D"/>
    <w:rsid w:val="00B7010B"/>
    <w:rsid w:val="00B71F99"/>
    <w:rsid w:val="00B73551"/>
    <w:rsid w:val="00BA66BF"/>
    <w:rsid w:val="00BC0B7D"/>
    <w:rsid w:val="00BD0572"/>
    <w:rsid w:val="00BD1F6E"/>
    <w:rsid w:val="00BD567D"/>
    <w:rsid w:val="00BE56BF"/>
    <w:rsid w:val="00BF0C53"/>
    <w:rsid w:val="00BF1A8D"/>
    <w:rsid w:val="00C02718"/>
    <w:rsid w:val="00C11D33"/>
    <w:rsid w:val="00C30033"/>
    <w:rsid w:val="00C57F50"/>
    <w:rsid w:val="00C60477"/>
    <w:rsid w:val="00C65E65"/>
    <w:rsid w:val="00C732A7"/>
    <w:rsid w:val="00C77DFD"/>
    <w:rsid w:val="00C83AC9"/>
    <w:rsid w:val="00C95588"/>
    <w:rsid w:val="00CA2C90"/>
    <w:rsid w:val="00CC01D9"/>
    <w:rsid w:val="00CC465A"/>
    <w:rsid w:val="00CD202A"/>
    <w:rsid w:val="00CD6263"/>
    <w:rsid w:val="00D056D3"/>
    <w:rsid w:val="00D06B18"/>
    <w:rsid w:val="00D11886"/>
    <w:rsid w:val="00D21067"/>
    <w:rsid w:val="00D33429"/>
    <w:rsid w:val="00D370A0"/>
    <w:rsid w:val="00D424EA"/>
    <w:rsid w:val="00D46AB8"/>
    <w:rsid w:val="00D67579"/>
    <w:rsid w:val="00D70373"/>
    <w:rsid w:val="00D779A4"/>
    <w:rsid w:val="00D8289F"/>
    <w:rsid w:val="00DA360B"/>
    <w:rsid w:val="00DA79F6"/>
    <w:rsid w:val="00DB0AB6"/>
    <w:rsid w:val="00DB1483"/>
    <w:rsid w:val="00DC04E9"/>
    <w:rsid w:val="00DD5B86"/>
    <w:rsid w:val="00DD7C67"/>
    <w:rsid w:val="00E018A1"/>
    <w:rsid w:val="00E02AD2"/>
    <w:rsid w:val="00E16075"/>
    <w:rsid w:val="00E179B3"/>
    <w:rsid w:val="00E20331"/>
    <w:rsid w:val="00E3279F"/>
    <w:rsid w:val="00E5423D"/>
    <w:rsid w:val="00E568C7"/>
    <w:rsid w:val="00E65EA6"/>
    <w:rsid w:val="00E744A7"/>
    <w:rsid w:val="00E85B83"/>
    <w:rsid w:val="00E90525"/>
    <w:rsid w:val="00E95CF2"/>
    <w:rsid w:val="00EA07AA"/>
    <w:rsid w:val="00EA4FA7"/>
    <w:rsid w:val="00EA75E5"/>
    <w:rsid w:val="00EB0468"/>
    <w:rsid w:val="00EB5794"/>
    <w:rsid w:val="00EC528D"/>
    <w:rsid w:val="00ED4BBE"/>
    <w:rsid w:val="00ED77AC"/>
    <w:rsid w:val="00EE4A31"/>
    <w:rsid w:val="00F00C64"/>
    <w:rsid w:val="00F0491D"/>
    <w:rsid w:val="00F07BA8"/>
    <w:rsid w:val="00F1359A"/>
    <w:rsid w:val="00F26428"/>
    <w:rsid w:val="00F369F8"/>
    <w:rsid w:val="00F55BAC"/>
    <w:rsid w:val="00F82451"/>
    <w:rsid w:val="00F92FFE"/>
    <w:rsid w:val="00FA0BA9"/>
    <w:rsid w:val="00FA6975"/>
    <w:rsid w:val="00FB6A91"/>
    <w:rsid w:val="00FB6EF8"/>
    <w:rsid w:val="00FD4466"/>
    <w:rsid w:val="00FE70C6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cp:lastPrinted>2024-05-23T14:24:00Z</cp:lastPrinted>
  <dcterms:created xsi:type="dcterms:W3CDTF">2019-07-15T15:55:00Z</dcterms:created>
  <dcterms:modified xsi:type="dcterms:W3CDTF">2024-05-23T14:24:00Z</dcterms:modified>
</cp:coreProperties>
</file>